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75" w:rsidRDefault="003D6175" w:rsidP="003D6175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3D6175" w:rsidRDefault="003D6175" w:rsidP="003D6175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D6175" w:rsidRDefault="003D6175" w:rsidP="003D6175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3D6175" w:rsidRDefault="003D6175" w:rsidP="003D6175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3D6175" w:rsidRDefault="003D6175" w:rsidP="003D6175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3D6175" w:rsidRDefault="003D6175" w:rsidP="003D6175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14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1</w:t>
      </w:r>
    </w:p>
    <w:p w:rsidR="003D6175" w:rsidRDefault="003D6175" w:rsidP="003D6175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17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.12.2020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3D6175" w:rsidRDefault="003D6175" w:rsidP="003D61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D6175" w:rsidRDefault="003D6175" w:rsidP="003D61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D6175" w:rsidRDefault="003D6175" w:rsidP="003D61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3D6175" w:rsidRDefault="003D6175" w:rsidP="003D61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3D6175" w:rsidRDefault="003D6175" w:rsidP="003D61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3D6175" w:rsidRDefault="003D6175" w:rsidP="003D6175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3D6175" w:rsidRDefault="003D6175" w:rsidP="003D6175"/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О банкротстве граждан во внесудебном порядке.</w:t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 законом от 31 июля 2020 г. № 289-ФЗ внесены изменения в Федеральный закон «О несостоятельности (банкротстве)» и отдельные законодательные акты Российской Федерации.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Указанным законом вводится процедура внесудебного банкротства граждан. Определены категории граждан, которые вправе воспользоваться таким порядком, и требования к арбитражным управляющим. Заявления можно будет подавать по месту жительства или месту пребывания в МФЦ. Сведения о возбуждении внесудебного порядка банкротства будут размещаться в Едином федеральном реестре сведений о банкротстве. Данная процедура для гражданина бесплатна.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вступил в силу 1 сентября 2020 г.</w:t>
      </w:r>
    </w:p>
    <w:p w:rsidR="00D8509B" w:rsidRDefault="00D8509B" w:rsidP="00D8509B">
      <w:pPr>
        <w:rPr>
          <w:rFonts w:ascii="Times New Roman" w:hAnsi="Times New Roman"/>
          <w:color w:val="000000"/>
          <w:sz w:val="28"/>
          <w:szCs w:val="28"/>
        </w:rPr>
      </w:pPr>
    </w:p>
    <w:p w:rsidR="003D6175" w:rsidRPr="00D8509B" w:rsidRDefault="003D6175" w:rsidP="00D8509B">
      <w:pPr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t xml:space="preserve">О принятых дополнительных мерах по ограничению потребления </w:t>
      </w:r>
      <w:proofErr w:type="spellStart"/>
      <w:r w:rsidRPr="00D8509B">
        <w:rPr>
          <w:rFonts w:ascii="Times New Roman" w:hAnsi="Times New Roman"/>
          <w:b/>
          <w:color w:val="000000"/>
          <w:sz w:val="28"/>
          <w:szCs w:val="28"/>
        </w:rPr>
        <w:t>никотиносодержащей</w:t>
      </w:r>
      <w:proofErr w:type="spellEnd"/>
      <w:r w:rsidRPr="00D8509B">
        <w:rPr>
          <w:rFonts w:ascii="Times New Roman" w:hAnsi="Times New Roman"/>
          <w:b/>
          <w:color w:val="000000"/>
          <w:sz w:val="28"/>
          <w:szCs w:val="28"/>
        </w:rPr>
        <w:t xml:space="preserve"> продукции.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31 июля 2020 г. № 303-ФЗ внесены изменения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продукции.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Данным законом ограничены потребление, реклама и продажа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продукции.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Поправки касаются ограничений и запретов на использование, торговлю, рекламу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продукции, а также на распространение информации о ней. Внесены изменения в законы об охране здоровья, КоАП РФ, о рекламе и ряд иных актов. Ограничения вводятся и на использование кальянов.</w:t>
      </w:r>
    </w:p>
    <w:p w:rsidR="003D6175" w:rsidRDefault="003D6175" w:rsidP="003D6175">
      <w:pPr>
        <w:pStyle w:val="a4"/>
        <w:tabs>
          <w:tab w:val="clear" w:pos="9355"/>
          <w:tab w:val="right" w:pos="992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вступил в силу со дня опубликования, за исключением отдельных положений, для которых предусмотрены иные сроки.</w:t>
      </w:r>
    </w:p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О нововведениях при государственной регистрации недвижимости</w:t>
      </w:r>
    </w:p>
    <w:p w:rsidR="003D6175" w:rsidRPr="00D8509B" w:rsidRDefault="003D6175" w:rsidP="003D6175">
      <w:pPr>
        <w:pStyle w:val="a4"/>
        <w:tabs>
          <w:tab w:val="right" w:pos="9921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 июля 2020 г. № 269-ФЗ внесены изменения в отдельные законодательные акты Российской Федерации по вопросам государственного кадастрового учета и государственной регистрации прав на недвижимое имущество.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закреплена возможность </w:t>
      </w:r>
      <w:proofErr w:type="spellStart"/>
      <w:r>
        <w:rPr>
          <w:rFonts w:ascii="Times New Roman" w:hAnsi="Times New Roman"/>
          <w:sz w:val="28"/>
          <w:szCs w:val="28"/>
        </w:rPr>
        <w:t>госрегистрации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договора аренды части здания, сооружения без представления технического плана.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Запрещены сайты, создаваемые в целях перепродажи сведений, содержащихся в ЕГРН.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кадастре недвижимости в отношении предприятия как имущественного комплекса должны отражаться кадастровые номера объектов недвижимости, которые используются предприятием на праве, отличном от права собственности (например, по договору аренды).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Исключено требование о максимально допустимом размере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-места. Сведения о данном объекте указываются на основании технического плана, подготовленного в соответствии с проектной документацией здания, сооружения.</w:t>
      </w:r>
    </w:p>
    <w:p w:rsidR="00D8509B" w:rsidRDefault="003D6175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органы власти обязали представлять документы для кадастрового учета и </w:t>
      </w:r>
      <w:proofErr w:type="spellStart"/>
      <w:r>
        <w:rPr>
          <w:rFonts w:ascii="Times New Roman" w:hAnsi="Times New Roman"/>
          <w:sz w:val="28"/>
          <w:szCs w:val="28"/>
        </w:rPr>
        <w:t>госрегистрации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в электронном виде.</w:t>
      </w:r>
    </w:p>
    <w:p w:rsid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75" w:rsidRPr="00D8509B" w:rsidRDefault="003D6175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t>Об изменениях в жилищный кодекс в части управления МКД</w:t>
      </w:r>
    </w:p>
    <w:p w:rsidR="003D6175" w:rsidRPr="00D8509B" w:rsidRDefault="003D6175" w:rsidP="003D6175">
      <w:pPr>
        <w:pStyle w:val="a4"/>
        <w:tabs>
          <w:tab w:val="right" w:pos="9921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 июля 2020 г. № 277-ФЗ внесены изменения в статьи 161.1 и 164 Жилищного кодекса Российской Федерации.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поправкам председатель совета многоквартирного дома (МКД) сможет заключать договор управления МКД, а также договоры оказания услуг по содержанию и ремонту общего имущества МКД: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основании доверенностей, выданных собственниками помещений в МКД;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действуя без доверенности, в случае наделения его таким полномочием по решению общего собрания собственников помещений в МКД.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случае по договорам приобретают права и становятся обязанными собственники помещений в МКД, предоставившие председателю доверенности, во втором - все собственники.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аналогичном порядке председателю будут передаваться полномочия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содержанием и ремонтом общего имущества в МКД.</w:t>
      </w:r>
    </w:p>
    <w:p w:rsidR="003D6175" w:rsidRDefault="003D6175" w:rsidP="003D6175">
      <w:pPr>
        <w:pStyle w:val="a4"/>
        <w:tabs>
          <w:tab w:val="right" w:pos="9921"/>
        </w:tabs>
        <w:jc w:val="both"/>
        <w:rPr>
          <w:rFonts w:ascii="Times New Roman" w:hAnsi="Times New Roman"/>
          <w:sz w:val="28"/>
          <w:szCs w:val="28"/>
        </w:rPr>
      </w:pPr>
    </w:p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Урегулированы вопросы использования благотворительных ящиков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 законом от 07.04.2020 № 113-ФЗ внесены изменения в Федеральный закон «О благотворительной деятельности и добровольчестве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 в части установления порядка использования ящиков для сбора благотворительных пожертвований.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Закреплены понятие и виды ящиков для сбора благотворительных пожертвований, а также основные требования к их установке и использованию.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Предусмотрены стационарные и переносные ящики. Их могут использовать только некоммерческие организации, занимающиеся благотворительной деятельностью (далее - НКО)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Переносные ящики для сбора пожертвований разрешено устанавливать исключительно в месте и во время проведения мероприятий, организованных НКО. У лица, непосредственно использующего такой ящик, должен быть подтверждающий документ от организатора.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установки стационарного ящика потребуется договор с владельцем помещения. Исключение составляют случаи, когда помещение принадлежит самой НКО или если ящик размещается в месте и во время проведения мероприятия, организованного НКО.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НКО должна принять положение о программе или иной акт, в соответствии с которым проводится сбор пожертвований, а также опубликовать отчет об использовании собранных средств (в том числе на своем сайте). Наличные деньги, извлеченные из ящика, должны быть зачислены на банковский счет НКО в течение 3 рабочих дней.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порядок не применяется к ящикам для сбора благотворительных пожертвований, размещаемых религиозными организациями в целях осуществления уставных видов деятельности.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Утверждены требования к госконтролю в области долевого строительства</w:t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 сентября 2020 г. № 1336 утверждены требования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Объектами контроля являются лица, привлекающие средства дольщиков. В частности, к таким лицам относятся застройщики.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Указанными требованиями предусмотрены внеплановые проверки, профилактика нарушений обязательных требований, контроль без взаимодействия с застройщиками, пресечение и (или) устранение последствий выявленных нарушений.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примеру, без взаимодействия проводятся анализ ежеквартальной отчетности и обязательной к раскрытию информации, наблюдение посредством ЕИС жилищного строительства.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Органам исполнительной власти субъектов Российской Федерации рекомендовано утвердить норматив штатной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численности работников органов исполнительной власти субъекта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Федерации, осуществляющих государственный контроль (надзор) в области долевого строительства многоквартирных домов и (или) иных объектов недвижимости, для обеспечения выполнения полномочий, возложенных на такие органы.</w:t>
      </w:r>
    </w:p>
    <w:p w:rsidR="003D6175" w:rsidRDefault="003D6175" w:rsidP="003D6175">
      <w:pPr>
        <w:pStyle w:val="a4"/>
        <w:tabs>
          <w:tab w:val="clear" w:pos="9355"/>
          <w:tab w:val="right" w:pos="992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Об урегулировании вопросов обращения с цифровыми активами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31 июля 2020 г. № 259-ФЗ «О цифровых финансовых активах, цифровой валюте и о внесении изменений в отдельные законодательные акты Российской Федерации» урегулированы вопросы обращения с цифровыми активами и цифровой валютой, установлены их правовые статусы.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Цифровые финансовые активы (ЦФА) - это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АО, право требовать передачи эмиссионных ценных бумаг, которые предусмотрены решением о выпуске ЦФА, выпуск, учет и обращение которых возможны только путем внесения (изменения) записей в </w:t>
      </w:r>
      <w:proofErr w:type="spellStart"/>
      <w:r>
        <w:rPr>
          <w:rFonts w:ascii="Times New Roman" w:hAnsi="Times New Roman"/>
          <w:sz w:val="28"/>
          <w:szCs w:val="28"/>
        </w:rPr>
        <w:t>информсистему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распределенного реестра, а также в иные </w:t>
      </w:r>
      <w:proofErr w:type="spellStart"/>
      <w:r>
        <w:rPr>
          <w:rFonts w:ascii="Times New Roman" w:hAnsi="Times New Roman"/>
          <w:sz w:val="28"/>
          <w:szCs w:val="28"/>
        </w:rPr>
        <w:t>информсистемы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Цифровая валюта - это совокупность электронных данных (цифрового кода или обозначения), содержащихся в </w:t>
      </w:r>
      <w:proofErr w:type="spellStart"/>
      <w:r>
        <w:rPr>
          <w:rFonts w:ascii="Times New Roman" w:hAnsi="Times New Roman"/>
          <w:sz w:val="28"/>
          <w:szCs w:val="28"/>
        </w:rPr>
        <w:t>информсистеме</w:t>
      </w:r>
      <w:proofErr w:type="spellEnd"/>
      <w:r>
        <w:rPr>
          <w:rFonts w:ascii="Times New Roman" w:hAnsi="Times New Roman"/>
          <w:sz w:val="28"/>
          <w:szCs w:val="28"/>
        </w:rPr>
        <w:t>, которые предлагаются и (или) могут быть приняты в качестве средства платежа и (или) в качестве инвестиций и в отношении которых отсутствует лицо, обязанное перед каждым обладателем таких электронных данных.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Регулируются отношения, возникающие при выпуске, учете и обращении ЦФА, особенности деятельности оператора </w:t>
      </w:r>
      <w:proofErr w:type="spellStart"/>
      <w:r>
        <w:rPr>
          <w:rFonts w:ascii="Times New Roman" w:hAnsi="Times New Roman"/>
          <w:sz w:val="28"/>
          <w:szCs w:val="28"/>
        </w:rPr>
        <w:t>информсистемы</w:t>
      </w:r>
      <w:proofErr w:type="spellEnd"/>
      <w:r>
        <w:rPr>
          <w:rFonts w:ascii="Times New Roman" w:hAnsi="Times New Roman"/>
          <w:sz w:val="28"/>
          <w:szCs w:val="28"/>
        </w:rPr>
        <w:t>, в которой выпускаются ЦФА, и оператора обмена ЦФА, а также отношения, возникающие при обороте цифровой валюты в России.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вступает в силу с 1 января 2021 г., за исключением отдельных положений, для которых предусмотрен иной срок.</w:t>
      </w:r>
    </w:p>
    <w:p w:rsidR="003D6175" w:rsidRDefault="003D6175">
      <w:r>
        <w:br w:type="page"/>
      </w:r>
    </w:p>
    <w:p w:rsidR="003D6175" w:rsidRPr="00D8509B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О новых изменениях при предоставлении субсидий за ЖКХ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28 июля 2020 г. № 1130 внесены изменения в Правила предоставления субсидий на оплату жилого помещения и коммунальных услуг.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в соответствии с указанными изменениями получить  субсидию на оплату услуг ЖКХ станет проще.</w:t>
      </w:r>
    </w:p>
    <w:p w:rsidR="003D6175" w:rsidRDefault="003D6175" w:rsidP="003D6175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 января 2021 г. гражданам для получения субсидии на оплату жилищно-коммунальных услуг не придётся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предоставлять справки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 отсутствии задолженности по оплате услуг ЖКХ. Необходимую информацию госорганы будут получать через систему межведомственного электронного взаимодействия.</w:t>
      </w:r>
    </w:p>
    <w:p w:rsidR="003D6175" w:rsidRDefault="003D6175" w:rsidP="00D8509B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уточнен порядок перечисления субсидий напрямую управляющей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организации.</w:t>
      </w:r>
    </w:p>
    <w:p w:rsidR="00D8509B" w:rsidRDefault="00D8509B" w:rsidP="00D8509B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09B" w:rsidRDefault="00D8509B" w:rsidP="00D8509B">
      <w:pPr>
        <w:pStyle w:val="a4"/>
        <w:tabs>
          <w:tab w:val="right" w:pos="992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09B" w:rsidRDefault="00D8509B" w:rsidP="00D8509B">
      <w:pPr>
        <w:pStyle w:val="a4"/>
        <w:tabs>
          <w:tab w:val="right" w:pos="9921"/>
        </w:tabs>
        <w:ind w:firstLine="567"/>
        <w:jc w:val="both"/>
      </w:pPr>
    </w:p>
    <w:p w:rsidR="003D6175" w:rsidRPr="00D8509B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t>Об ограничениях продажи алкогольной продукции в многоквартирных домах</w:t>
      </w:r>
    </w:p>
    <w:p w:rsidR="003D6175" w:rsidRPr="00D8509B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24.04.2020 № 145-ФЗ внесены изменения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поправкам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региональные власти могут вводить дополнительные ограничения на продажу алкоголя в таких заведениях (в части увеличения площади зала обслуживания посетителей), вплоть до ее полного запрета.</w:t>
      </w:r>
    </w:p>
    <w:p w:rsidR="003D6175" w:rsidRDefault="003D6175"/>
    <w:p w:rsidR="003D6175" w:rsidRPr="00D8509B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t>Установлена ответственность за самовольное переустройство и перепланировку  помещения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24.04.2020 № 133-ФЗ внесены изменения в статью 7.21 Кодекса Российской Федерации об административных правонарушениях.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отдельный состав административного правонарушения выделено самовольные переустройство и (или) перепланировка помещения в многоквартирном доме.</w:t>
      </w:r>
    </w:p>
    <w:p w:rsidR="00D8509B" w:rsidRDefault="003D6175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Правонарушение влечет наложение административного штрафа на граждан в размере от 2 до 2,5 тысяч рублей; на должностных лиц - от 4 до 5 тысяч рублей; на юридических лиц - от 40 до 50 тысяч рублей. При этом индивидуальные предприниматели будут нести ответственность как юридические лица.</w:t>
      </w:r>
    </w:p>
    <w:p w:rsid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75" w:rsidRPr="00D8509B" w:rsidRDefault="00D8509B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b/>
        </w:rPr>
        <w:t>О</w:t>
      </w:r>
      <w:r w:rsidR="003D6175" w:rsidRPr="00D8509B">
        <w:rPr>
          <w:rFonts w:ascii="Times New Roman" w:hAnsi="Times New Roman"/>
          <w:b/>
          <w:color w:val="000000"/>
          <w:sz w:val="28"/>
          <w:szCs w:val="28"/>
        </w:rPr>
        <w:t>б ответственности за перепродажу билетов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 13.01.2020 действует новая статья 14.4.3 КоАП РФ, предусматривающая ответственность за реализацию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неуправомоченными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лицами билетов, абонементов и экскурсионных путевок на проводимые организациями исполнительских искусств и музеями зрелищные мероприятия (за исключением однократной продажи гражданином приобретенных им для использования в личных целях билета, абонемента или экскурсионной путевки по цене, не превышающей цены, указанной в билете, абонементе или экскурсионной путевке). </w:t>
      </w:r>
      <w:proofErr w:type="gramEnd"/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Такая деятельность наказывается наложением административного штрафа на граждан в размере от полуторакратной до двукратной цены, указанной в билете, абонементе или экскурсионной путевке, явившихся предметом административного правонарушения.</w:t>
      </w:r>
    </w:p>
    <w:p w:rsidR="00D8509B" w:rsidRDefault="00D8509B" w:rsidP="00D8509B">
      <w:pPr>
        <w:rPr>
          <w:rFonts w:ascii="Times New Roman" w:hAnsi="Times New Roman"/>
          <w:color w:val="000000"/>
          <w:sz w:val="28"/>
          <w:szCs w:val="28"/>
        </w:rPr>
      </w:pPr>
    </w:p>
    <w:p w:rsidR="00D8509B" w:rsidRDefault="00D8509B" w:rsidP="00D8509B">
      <w:pPr>
        <w:rPr>
          <w:rFonts w:ascii="Times New Roman" w:hAnsi="Times New Roman"/>
          <w:color w:val="000000"/>
          <w:sz w:val="28"/>
          <w:szCs w:val="28"/>
        </w:rPr>
      </w:pPr>
    </w:p>
    <w:p w:rsidR="003D6175" w:rsidRPr="00D8509B" w:rsidRDefault="003D6175" w:rsidP="00D8509B">
      <w:pPr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t>Об уголовной ответственности за уничтожение и осквернение военных памятников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07.04.2020 № 112-ФЗ внесены изменения в Уголовный кодекс РФ и Уголовно-процессуальный кодекс РФ.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 законом предусмотрен новый состав преступления (ст. 243.4 УК РФ) – 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 либо посвященных дням воинской славы России, в целях причинения ущерба историко-культурному значению таких объектов.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Преступление наказывается штрафом в размере до 3 миллионов рублей либо принудительными работами на срок до 3 лет, либо лишением свободы на тот же срок.</w:t>
      </w:r>
    </w:p>
    <w:p w:rsidR="00D8509B" w:rsidRDefault="003D6175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строгое наказание последует при совершении деяния группой лиц, группой лиц по предварительному сговору или организованной группой, с применением насилия, а также при уничтожении или повреждении объектов, связанных с Великой Отечественной войной.</w:t>
      </w:r>
    </w:p>
    <w:p w:rsidR="003D6175" w:rsidRPr="00D8509B" w:rsidRDefault="003D6175" w:rsidP="00D8509B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09B">
        <w:rPr>
          <w:rFonts w:ascii="Times New Roman" w:hAnsi="Times New Roman"/>
          <w:b/>
          <w:color w:val="000000"/>
          <w:sz w:val="28"/>
          <w:szCs w:val="28"/>
        </w:rPr>
        <w:lastRenderedPageBreak/>
        <w:t>Об увеличении штрафов за правонарушения в сфере воинского учета.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апреля 2020 г. № 132-ФЗ внесены изменения в Кодекс Российской Федерации об административных правонарушениях.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поправкам ужесточена административная ответственность за нарушения в сфере воинского учета.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увеличены штрафы: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непредставление в военкомат списков граждан, подлежащих постановке на воинский учет;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/>
          <w:sz w:val="28"/>
          <w:szCs w:val="28"/>
        </w:rPr>
        <w:t>неоповещение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о вызове их по повестке военкомата;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несвоевременное представление сведений об изменениях состава граждан, состоящих на воинском учете;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несообщение сведений о гражданах, состоящих или обязанных состоять на воинском учете;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неисполнение гражданами обязанностей по воинскому учету;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уклонение от </w:t>
      </w:r>
      <w:proofErr w:type="spellStart"/>
      <w:r>
        <w:rPr>
          <w:rFonts w:ascii="Times New Roman" w:hAnsi="Times New Roman"/>
          <w:sz w:val="28"/>
          <w:szCs w:val="28"/>
        </w:rPr>
        <w:t>медобследования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умышленную порчу или утрату документов воинского учета.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увеличен срок давности привлечения к административной ответственности за нарушения в области воинского учета.</w:t>
      </w:r>
    </w:p>
    <w:p w:rsidR="003D6175" w:rsidRDefault="003D6175" w:rsidP="003D6175">
      <w:pPr>
        <w:pStyle w:val="a4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529" w:rsidRDefault="00CC1529">
      <w:r>
        <w:br w:type="page"/>
      </w: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РОССИЙСКАЯ ФЕДЕРАЦИЯ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CC1529" w:rsidRDefault="00CC1529" w:rsidP="00CC1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10.12.2020 г.                              с. Кордово                                                    № 31-п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CC1529" w:rsidRDefault="00CC1529" w:rsidP="00CC152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CC1529" w:rsidRDefault="00CC1529" w:rsidP="00CC152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CC1529" w:rsidRDefault="00CC1529" w:rsidP="00CC152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Присвоить адрес земельному участку, расположенному на кадастровом плане территории в кадастровом квартале 24:23:3805001 площадью 1024 кв. м.: Российская Федерация, Красноярский край, Курагинский муниципальный район, Сельское поселение Кордовский сельсовет, Верхняя </w:t>
      </w:r>
      <w:proofErr w:type="spellStart"/>
      <w:r>
        <w:rPr>
          <w:b w:val="0"/>
          <w:sz w:val="28"/>
          <w:szCs w:val="28"/>
        </w:rPr>
        <w:t>Мульга</w:t>
      </w:r>
      <w:proofErr w:type="spellEnd"/>
      <w:r>
        <w:rPr>
          <w:b w:val="0"/>
          <w:sz w:val="28"/>
          <w:szCs w:val="28"/>
        </w:rPr>
        <w:t xml:space="preserve"> деревня, Береговая улица, земельный участок 22</w:t>
      </w:r>
      <w:proofErr w:type="gramStart"/>
      <w:r>
        <w:rPr>
          <w:b w:val="0"/>
          <w:sz w:val="28"/>
          <w:szCs w:val="28"/>
        </w:rPr>
        <w:t xml:space="preserve"> Б</w:t>
      </w:r>
      <w:proofErr w:type="gramEnd"/>
      <w:r>
        <w:rPr>
          <w:b w:val="0"/>
          <w:sz w:val="28"/>
          <w:szCs w:val="28"/>
        </w:rPr>
        <w:t>, категория земель – земли населенных пунктов, разрешенное использование – ведение личного подсобного хозяйства на полевых участках.</w:t>
      </w:r>
    </w:p>
    <w:p w:rsidR="00CC1529" w:rsidRDefault="00CC1529" w:rsidP="00CC152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CC1529" w:rsidRDefault="00CC1529" w:rsidP="00CC152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CC1529" w:rsidRDefault="00CC1529" w:rsidP="00CC15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CC1529" w:rsidRDefault="00CC1529" w:rsidP="00CC1529"/>
    <w:p w:rsidR="00CC1529" w:rsidRDefault="00CC1529" w:rsidP="00CC1529">
      <w:pPr>
        <w:pStyle w:val="a8"/>
        <w:rPr>
          <w:b w:val="0"/>
          <w:szCs w:val="28"/>
        </w:rPr>
      </w:pPr>
      <w:r>
        <w:rPr>
          <w:b w:val="0"/>
          <w:bCs w:val="0"/>
          <w:szCs w:val="28"/>
        </w:rPr>
        <w:lastRenderedPageBreak/>
        <w:t>РОССИЙСКАЯ ФЕДЕРАЦИЯ</w:t>
      </w:r>
    </w:p>
    <w:p w:rsidR="00CC1529" w:rsidRDefault="00CC1529" w:rsidP="00CC15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КОРДОВСКОГО СЕЛЬСОВЕТА</w:t>
      </w:r>
    </w:p>
    <w:p w:rsidR="00CC1529" w:rsidRDefault="00CC1529" w:rsidP="00CC15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КУРАГИНСКОГО РАЙОНА</w:t>
      </w:r>
    </w:p>
    <w:p w:rsidR="00CC1529" w:rsidRDefault="00CC1529" w:rsidP="00CC152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CC1529" w:rsidRDefault="00CC1529" w:rsidP="00CC1529">
      <w:pPr>
        <w:jc w:val="center"/>
        <w:rPr>
          <w:sz w:val="28"/>
          <w:szCs w:val="28"/>
        </w:rPr>
      </w:pPr>
    </w:p>
    <w:p w:rsidR="00CC1529" w:rsidRDefault="00CC1529" w:rsidP="00CC15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1529" w:rsidRDefault="00CC1529" w:rsidP="00CC1529">
      <w:pPr>
        <w:jc w:val="center"/>
        <w:rPr>
          <w:sz w:val="28"/>
          <w:szCs w:val="28"/>
        </w:rPr>
      </w:pPr>
    </w:p>
    <w:p w:rsidR="00CC1529" w:rsidRDefault="00CC1529" w:rsidP="00CC1529">
      <w:pPr>
        <w:rPr>
          <w:sz w:val="28"/>
          <w:szCs w:val="28"/>
        </w:rPr>
      </w:pPr>
      <w:r>
        <w:rPr>
          <w:sz w:val="28"/>
          <w:szCs w:val="28"/>
        </w:rPr>
        <w:t xml:space="preserve">04.12.2020                                      с. Кордово                                             № 30-п </w:t>
      </w:r>
    </w:p>
    <w:p w:rsidR="00CC1529" w:rsidRDefault="00CC1529" w:rsidP="00CC1529">
      <w:pPr>
        <w:rPr>
          <w:sz w:val="28"/>
          <w:szCs w:val="28"/>
        </w:rPr>
      </w:pPr>
    </w:p>
    <w:p w:rsidR="00CC1529" w:rsidRDefault="00CC1529" w:rsidP="00CC1529">
      <w:pPr>
        <w:ind w:right="5527"/>
        <w:rPr>
          <w:sz w:val="28"/>
          <w:szCs w:val="28"/>
        </w:rPr>
      </w:pPr>
      <w:r>
        <w:rPr>
          <w:sz w:val="28"/>
          <w:szCs w:val="28"/>
        </w:rPr>
        <w:t>О назначении даты проведения публичных слушаний</w:t>
      </w:r>
    </w:p>
    <w:p w:rsidR="00CC1529" w:rsidRDefault="00CC1529" w:rsidP="00CC1529">
      <w:pPr>
        <w:rPr>
          <w:sz w:val="28"/>
          <w:szCs w:val="28"/>
        </w:rPr>
      </w:pPr>
    </w:p>
    <w:p w:rsidR="00CC1529" w:rsidRDefault="00CC1529" w:rsidP="00CC15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CC1529" w:rsidRDefault="00CC1529" w:rsidP="00CC15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 «Рассмотрение проекта бюджета муниципального образования Кордовский сельсовет на 2021 год и плановый период 2022-2023 годов»</w:t>
      </w:r>
    </w:p>
    <w:p w:rsidR="00CC1529" w:rsidRDefault="00CC1529" w:rsidP="00CC15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17.12.2020 года в помещении администрации Кордовского сельсовета, по адресу: с. Кордово, ул. Гагарина, 67, по вопросу «Рассмотрение проекта бюджета муниципального образования Кордовский сельсовет на 2021 год и плановый период 2022-2023 годов» в 14 часов.</w:t>
      </w:r>
    </w:p>
    <w:p w:rsidR="00CC1529" w:rsidRDefault="00CC1529" w:rsidP="00CC15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1529" w:rsidRDefault="00CC1529" w:rsidP="00CC152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дня, следующего за днем его опубликования в газете «Кордовский вестник».</w:t>
      </w:r>
    </w:p>
    <w:p w:rsidR="00CC1529" w:rsidRDefault="00CC1529" w:rsidP="00CC1529">
      <w:pPr>
        <w:pStyle w:val="a3"/>
        <w:rPr>
          <w:rFonts w:ascii="Times New Roman" w:hAnsi="Times New Roman"/>
          <w:sz w:val="28"/>
          <w:szCs w:val="28"/>
        </w:rPr>
      </w:pPr>
    </w:p>
    <w:p w:rsidR="00CC1529" w:rsidRDefault="00CC1529" w:rsidP="00CC1529">
      <w:pPr>
        <w:pStyle w:val="a3"/>
        <w:rPr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В.Л. Кондратьев</w:t>
      </w:r>
    </w:p>
    <w:p w:rsidR="00160BD7" w:rsidRDefault="00CC1529" w:rsidP="00CC1529">
      <w:pPr>
        <w:widowControl w:val="0"/>
        <w:tabs>
          <w:tab w:val="left" w:pos="3920"/>
        </w:tabs>
        <w:autoSpaceDE w:val="0"/>
        <w:autoSpaceDN w:val="0"/>
        <w:adjustRightInd w:val="0"/>
        <w:ind w:firstLine="709"/>
        <w:jc w:val="both"/>
      </w:pPr>
      <w:r>
        <w:rPr>
          <w:bCs/>
          <w:kern w:val="2"/>
          <w:sz w:val="28"/>
          <w:szCs w:val="28"/>
        </w:rPr>
        <w:t xml:space="preserve"> </w:t>
      </w:r>
      <w:bookmarkStart w:id="0" w:name="_GoBack"/>
      <w:bookmarkEnd w:id="0"/>
    </w:p>
    <w:sectPr w:rsidR="0016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4A"/>
    <w:rsid w:val="00160BD7"/>
    <w:rsid w:val="003D6175"/>
    <w:rsid w:val="00CC1529"/>
    <w:rsid w:val="00D8509B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617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D61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1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C15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C15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617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D61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1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C15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C15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2020-12-18T02:00:00Z</cp:lastPrinted>
  <dcterms:created xsi:type="dcterms:W3CDTF">2020-12-18T01:39:00Z</dcterms:created>
  <dcterms:modified xsi:type="dcterms:W3CDTF">2020-12-18T02:06:00Z</dcterms:modified>
</cp:coreProperties>
</file>